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F2" w:rsidRDefault="009455F2" w:rsidP="00094ED5">
      <w:pPr>
        <w:pStyle w:val="Heading2"/>
      </w:pPr>
      <w:r>
        <w:t>New Teacher Development</w:t>
      </w:r>
      <w:bookmarkStart w:id="0" w:name="_GoBack"/>
      <w:bookmarkEnd w:id="0"/>
    </w:p>
    <w:p w:rsidR="009455F2" w:rsidRDefault="009455F2" w:rsidP="009455F2">
      <w:pPr>
        <w:pStyle w:val="ListParagraph"/>
        <w:numPr>
          <w:ilvl w:val="0"/>
          <w:numId w:val="2"/>
        </w:numPr>
      </w:pPr>
      <w:r>
        <w:t xml:space="preserve">Full-release Induction Coaches meet weekly with beginning teachers </w:t>
      </w:r>
    </w:p>
    <w:p w:rsidR="009455F2" w:rsidRDefault="009455F2" w:rsidP="009455F2">
      <w:pPr>
        <w:pStyle w:val="ListParagraph"/>
        <w:numPr>
          <w:ilvl w:val="0"/>
          <w:numId w:val="2"/>
        </w:numPr>
      </w:pPr>
      <w:r>
        <w:t>Focus on Instructional Practice</w:t>
      </w:r>
    </w:p>
    <w:p w:rsidR="009455F2" w:rsidRDefault="009455F2" w:rsidP="009455F2">
      <w:pPr>
        <w:pStyle w:val="ListParagraph"/>
        <w:numPr>
          <w:ilvl w:val="0"/>
          <w:numId w:val="2"/>
        </w:numPr>
      </w:pPr>
      <w:r>
        <w:t>Beginning Teacher Network – after school sessions 4x year</w:t>
      </w:r>
    </w:p>
    <w:p w:rsidR="009455F2" w:rsidRDefault="009455F2" w:rsidP="009455F2">
      <w:pPr>
        <w:pStyle w:val="ListParagraph"/>
        <w:numPr>
          <w:ilvl w:val="0"/>
          <w:numId w:val="2"/>
        </w:numPr>
      </w:pPr>
      <w:r>
        <w:t>Access</w:t>
      </w:r>
      <w:r w:rsidR="007561B1">
        <w:t xml:space="preserve"> to NTC Learning Zone tools to support Lesson Planning, Analyzing Student Learning, Observation and Feedback, Goal-Setting, Knowing Students, and more…</w:t>
      </w:r>
    </w:p>
    <w:p w:rsidR="009455F2" w:rsidRDefault="009455F2" w:rsidP="00094ED5">
      <w:pPr>
        <w:pStyle w:val="Heading2"/>
      </w:pPr>
      <w:r>
        <w:t>Mentor Development</w:t>
      </w:r>
    </w:p>
    <w:p w:rsidR="009455F2" w:rsidRDefault="009455F2" w:rsidP="009455F2">
      <w:pPr>
        <w:pStyle w:val="ListParagraph"/>
        <w:numPr>
          <w:ilvl w:val="0"/>
          <w:numId w:val="1"/>
        </w:numPr>
      </w:pPr>
      <w:r>
        <w:t>Rigorous Selection Process</w:t>
      </w:r>
    </w:p>
    <w:p w:rsidR="009455F2" w:rsidRDefault="009455F2" w:rsidP="009455F2">
      <w:pPr>
        <w:pStyle w:val="ListParagraph"/>
        <w:numPr>
          <w:ilvl w:val="0"/>
          <w:numId w:val="1"/>
        </w:numPr>
      </w:pPr>
      <w:r>
        <w:t>District employees fully-released for 4 years to be Consortium Induction Coaches</w:t>
      </w:r>
    </w:p>
    <w:p w:rsidR="009455F2" w:rsidRDefault="007561B1" w:rsidP="009455F2">
      <w:pPr>
        <w:pStyle w:val="ListParagraph"/>
        <w:numPr>
          <w:ilvl w:val="0"/>
          <w:numId w:val="1"/>
        </w:numPr>
      </w:pPr>
      <w:r>
        <w:t>Monthly Induction Coach Forums</w:t>
      </w:r>
    </w:p>
    <w:p w:rsidR="007561B1" w:rsidRDefault="007561B1" w:rsidP="009455F2">
      <w:pPr>
        <w:pStyle w:val="ListParagraph"/>
        <w:numPr>
          <w:ilvl w:val="0"/>
          <w:numId w:val="1"/>
        </w:numPr>
      </w:pPr>
      <w:r>
        <w:t>Professional Learning Series (12 days Year 1, 8 days Year 2)</w:t>
      </w:r>
    </w:p>
    <w:p w:rsidR="007561B1" w:rsidRDefault="007561B1" w:rsidP="009455F2">
      <w:pPr>
        <w:pStyle w:val="ListParagraph"/>
        <w:numPr>
          <w:ilvl w:val="0"/>
          <w:numId w:val="1"/>
        </w:numPr>
      </w:pPr>
      <w:r>
        <w:t>In-field observation and feedback by Lead Coach (monthly)</w:t>
      </w:r>
    </w:p>
    <w:p w:rsidR="00094ED5" w:rsidRDefault="00094ED5" w:rsidP="009455F2">
      <w:pPr>
        <w:pStyle w:val="ListParagraph"/>
        <w:numPr>
          <w:ilvl w:val="0"/>
          <w:numId w:val="1"/>
        </w:numPr>
      </w:pPr>
      <w:r>
        <w:t>Access to NTC Learning Zone tools to support mentor Goal-Setting, reflection on professional growth, Observation and Feedback, Analyzing Beginning Teacher Development, and more…</w:t>
      </w:r>
    </w:p>
    <w:p w:rsidR="009455F2" w:rsidRDefault="009455F2" w:rsidP="00094ED5">
      <w:pPr>
        <w:pStyle w:val="Heading2"/>
      </w:pPr>
      <w:r>
        <w:t>Principal and Site Leader Capacity Building</w:t>
      </w:r>
    </w:p>
    <w:p w:rsidR="007561B1" w:rsidRDefault="00094ED5" w:rsidP="007561B1">
      <w:pPr>
        <w:pStyle w:val="ListParagraph"/>
        <w:numPr>
          <w:ilvl w:val="0"/>
          <w:numId w:val="3"/>
        </w:numPr>
      </w:pPr>
      <w:r>
        <w:t>Role of the School Leader in New Teacher Effectiveness (1/2 day for new to Consortium principals)</w:t>
      </w:r>
    </w:p>
    <w:p w:rsidR="00094ED5" w:rsidRDefault="00094ED5" w:rsidP="007561B1">
      <w:pPr>
        <w:pStyle w:val="ListParagraph"/>
        <w:numPr>
          <w:ilvl w:val="0"/>
          <w:numId w:val="3"/>
        </w:numPr>
      </w:pPr>
      <w:r>
        <w:t>Improving Student Achievement (3 days Evaluator Approval credit)</w:t>
      </w:r>
    </w:p>
    <w:p w:rsidR="00094ED5" w:rsidRDefault="00094ED5" w:rsidP="00094ED5">
      <w:pPr>
        <w:pStyle w:val="ListParagraph"/>
        <w:numPr>
          <w:ilvl w:val="0"/>
          <w:numId w:val="3"/>
        </w:numPr>
      </w:pPr>
      <w:r>
        <w:t>Consult with Consortium Program Lead</w:t>
      </w:r>
    </w:p>
    <w:p w:rsidR="009455F2" w:rsidRDefault="009455F2" w:rsidP="00094ED5">
      <w:pPr>
        <w:pStyle w:val="Heading2"/>
      </w:pPr>
      <w:r>
        <w:t>Program Leadership and Induction Systems Development</w:t>
      </w:r>
    </w:p>
    <w:p w:rsidR="00094ED5" w:rsidRDefault="00094ED5" w:rsidP="00094ED5">
      <w:pPr>
        <w:pStyle w:val="ListParagraph"/>
        <w:numPr>
          <w:ilvl w:val="0"/>
          <w:numId w:val="4"/>
        </w:numPr>
      </w:pPr>
      <w:r>
        <w:t>District consultations guided by Induction Program Standards</w:t>
      </w:r>
    </w:p>
    <w:p w:rsidR="00094ED5" w:rsidRDefault="00094ED5" w:rsidP="00094ED5">
      <w:pPr>
        <w:pStyle w:val="ListParagraph"/>
        <w:numPr>
          <w:ilvl w:val="0"/>
          <w:numId w:val="4"/>
        </w:numPr>
      </w:pPr>
      <w:r>
        <w:t>Alignment to and support of district TLC initiative</w:t>
      </w:r>
    </w:p>
    <w:p w:rsidR="00094ED5" w:rsidRDefault="00094ED5" w:rsidP="00094ED5">
      <w:pPr>
        <w:pStyle w:val="ListParagraph"/>
        <w:numPr>
          <w:ilvl w:val="0"/>
          <w:numId w:val="4"/>
        </w:numPr>
      </w:pPr>
      <w:r>
        <w:t>Program Evaluation Data Analysis</w:t>
      </w:r>
    </w:p>
    <w:p w:rsidR="009455F2" w:rsidRDefault="00F722B6" w:rsidP="00F722B6">
      <w:pPr>
        <w:pStyle w:val="Heading1"/>
      </w:pPr>
      <w:r>
        <w:t>Value of Comprehensive Induction Services - $12,926 per beginning teacher</w:t>
      </w:r>
    </w:p>
    <w:p w:rsidR="00F722B6" w:rsidRPr="00F722B6" w:rsidRDefault="006B1A3F" w:rsidP="00F722B6">
      <w:pPr>
        <w:pStyle w:val="Heading1"/>
      </w:pPr>
      <w:r>
        <w:t>Your Cost - $6,1</w:t>
      </w:r>
      <w:r w:rsidR="00F722B6">
        <w:t>00 per beginning teacher</w:t>
      </w:r>
    </w:p>
    <w:p w:rsidR="000129C1" w:rsidRDefault="0031559C">
      <w:r w:rsidRPr="00460493">
        <w:rPr>
          <w:noProof/>
        </w:rPr>
        <w:drawing>
          <wp:anchor distT="0" distB="0" distL="114300" distR="114300" simplePos="0" relativeHeight="251659264" behindDoc="0" locked="0" layoutInCell="1" allowOverlap="1" wp14:anchorId="4C5ABF6A" wp14:editId="506E20D8">
            <wp:simplePos x="0" y="0"/>
            <wp:positionH relativeFrom="margin">
              <wp:align>center</wp:align>
            </wp:positionH>
            <wp:positionV relativeFrom="margin">
              <wp:posOffset>5867400</wp:posOffset>
            </wp:positionV>
            <wp:extent cx="4790440" cy="2918460"/>
            <wp:effectExtent l="0" t="0" r="0" b="0"/>
            <wp:wrapTopAndBottom/>
            <wp:docPr id="5" name="Picture 4" descr="IC Theory of Action_1611_prf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C Theory of Action_1611_prf1.pdf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71F5" w:rsidRDefault="00D871F5">
      <w:pPr>
        <w:sectPr w:rsidR="00D871F5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129C1" w:rsidRDefault="000129C1"/>
    <w:p w:rsidR="009455F2" w:rsidRDefault="009455F2" w:rsidP="000129C1">
      <w:pPr>
        <w:pStyle w:val="Heading1"/>
      </w:pPr>
      <w:r>
        <w:t>Program Impact:</w:t>
      </w:r>
    </w:p>
    <w:p w:rsidR="000129C1" w:rsidRDefault="000129C1" w:rsidP="00D871F5">
      <w:pPr>
        <w:spacing w:after="0"/>
      </w:pPr>
      <w:r>
        <w:rPr>
          <w:rStyle w:val="Heading2Char"/>
        </w:rPr>
        <w:t>Accelerate Teacher Effectiveness and Increase Student Learning</w:t>
      </w:r>
    </w:p>
    <w:p w:rsidR="009455F2" w:rsidRDefault="000129C1" w:rsidP="00D871F5">
      <w:pPr>
        <w:spacing w:after="0"/>
      </w:pPr>
      <w:r>
        <w:t xml:space="preserve">We partnered with New Teacher Center to conduct a research study linking our comprehensive induction model to accelerated teacher effectiveness and increased student learning outcomes.  You may view our results here: </w:t>
      </w:r>
      <w:hyperlink r:id="rId9" w:history="1">
        <w:r w:rsidRPr="0031559C">
          <w:rPr>
            <w:rStyle w:val="Hyperlink"/>
          </w:rPr>
          <w:t>https://newteachercenter.org/news-story/ntc-i3-release/</w:t>
        </w:r>
      </w:hyperlink>
    </w:p>
    <w:p w:rsidR="00D871F5" w:rsidRDefault="00D871F5" w:rsidP="00D871F5">
      <w:pPr>
        <w:spacing w:after="0"/>
        <w:rPr>
          <w:rStyle w:val="Heading2Char"/>
        </w:rPr>
      </w:pPr>
    </w:p>
    <w:p w:rsidR="000129C1" w:rsidRDefault="009455F2" w:rsidP="00D871F5">
      <w:pPr>
        <w:spacing w:after="0"/>
      </w:pPr>
      <w:r w:rsidRPr="000129C1">
        <w:rPr>
          <w:rStyle w:val="Heading2Char"/>
        </w:rPr>
        <w:t>Improve High-Quality Teacher Retention</w:t>
      </w:r>
      <w:r>
        <w:t xml:space="preserve"> </w:t>
      </w:r>
      <w:r w:rsidR="000129C1">
        <w:t xml:space="preserve"> </w:t>
      </w:r>
    </w:p>
    <w:p w:rsidR="009455F2" w:rsidRDefault="000129C1" w:rsidP="00D871F5">
      <w:pPr>
        <w:spacing w:after="0"/>
      </w:pPr>
      <w:r>
        <w:t>Beginning Teachers in Consortium districts have an 85% in-district retention rate after 3 years, compared to 70% across Iowa.</w:t>
      </w:r>
    </w:p>
    <w:p w:rsidR="00217335" w:rsidRDefault="00217335" w:rsidP="00D871F5">
      <w:pPr>
        <w:spacing w:after="0"/>
      </w:pPr>
    </w:p>
    <w:p w:rsidR="000129C1" w:rsidRDefault="009455F2" w:rsidP="00D871F5">
      <w:pPr>
        <w:spacing w:after="0"/>
      </w:pPr>
      <w:r w:rsidRPr="000129C1">
        <w:rPr>
          <w:rStyle w:val="Heading2Char"/>
        </w:rPr>
        <w:t>Strengthen Teacher Leadership</w:t>
      </w:r>
      <w:r>
        <w:t xml:space="preserve"> </w:t>
      </w:r>
    </w:p>
    <w:p w:rsidR="000129C1" w:rsidRDefault="000129C1" w:rsidP="00D871F5">
      <w:pPr>
        <w:spacing w:after="0"/>
      </w:pPr>
      <w:r>
        <w:t>W</w:t>
      </w:r>
      <w:r w:rsidR="0031559C">
        <w:t>e have selected and trained</w:t>
      </w:r>
      <w:r>
        <w:t xml:space="preserve"> Induction Coaches</w:t>
      </w:r>
      <w:r w:rsidR="00EB09E1" w:rsidRPr="00217335">
        <w:rPr>
          <w:sz w:val="20"/>
        </w:rPr>
        <w:t>*</w:t>
      </w:r>
      <w:r>
        <w:t xml:space="preserve"> from many current and former Consortium districts, including:</w:t>
      </w:r>
    </w:p>
    <w:p w:rsidR="006B1A3F" w:rsidRDefault="006B1A3F" w:rsidP="00D871F5">
      <w:pPr>
        <w:pStyle w:val="ListParagraph"/>
        <w:numPr>
          <w:ilvl w:val="0"/>
          <w:numId w:val="5"/>
        </w:numPr>
        <w:spacing w:after="0"/>
      </w:pPr>
      <w:r>
        <w:t>Anamosa</w:t>
      </w:r>
    </w:p>
    <w:p w:rsidR="000129C1" w:rsidRDefault="000129C1" w:rsidP="00D871F5">
      <w:pPr>
        <w:pStyle w:val="ListParagraph"/>
        <w:numPr>
          <w:ilvl w:val="0"/>
          <w:numId w:val="5"/>
        </w:numPr>
        <w:spacing w:after="0"/>
      </w:pPr>
      <w:r>
        <w:t>Benton</w:t>
      </w:r>
    </w:p>
    <w:p w:rsidR="000129C1" w:rsidRDefault="000129C1" w:rsidP="00D871F5">
      <w:pPr>
        <w:pStyle w:val="ListParagraph"/>
        <w:numPr>
          <w:ilvl w:val="0"/>
          <w:numId w:val="5"/>
        </w:numPr>
        <w:spacing w:after="0"/>
      </w:pPr>
      <w:r>
        <w:t>Cedar Rapids</w:t>
      </w:r>
    </w:p>
    <w:p w:rsidR="000129C1" w:rsidRDefault="000129C1" w:rsidP="00D871F5">
      <w:pPr>
        <w:pStyle w:val="ListParagraph"/>
        <w:numPr>
          <w:ilvl w:val="0"/>
          <w:numId w:val="5"/>
        </w:numPr>
        <w:spacing w:after="0"/>
      </w:pPr>
      <w:r>
        <w:t>Center Point-Urbana</w:t>
      </w:r>
    </w:p>
    <w:p w:rsidR="000129C1" w:rsidRDefault="000129C1" w:rsidP="00D871F5">
      <w:pPr>
        <w:pStyle w:val="ListParagraph"/>
        <w:numPr>
          <w:ilvl w:val="0"/>
          <w:numId w:val="5"/>
        </w:numPr>
        <w:spacing w:after="0"/>
      </w:pPr>
      <w:r>
        <w:t>Clear Creek Amana</w:t>
      </w:r>
    </w:p>
    <w:p w:rsidR="000129C1" w:rsidRDefault="000129C1" w:rsidP="00D871F5">
      <w:pPr>
        <w:pStyle w:val="ListParagraph"/>
        <w:numPr>
          <w:ilvl w:val="0"/>
          <w:numId w:val="5"/>
        </w:numPr>
        <w:spacing w:after="0"/>
      </w:pPr>
      <w:r>
        <w:t>College</w:t>
      </w:r>
    </w:p>
    <w:p w:rsidR="000129C1" w:rsidRDefault="000129C1" w:rsidP="00D871F5">
      <w:pPr>
        <w:pStyle w:val="ListParagraph"/>
        <w:numPr>
          <w:ilvl w:val="0"/>
          <w:numId w:val="5"/>
        </w:numPr>
        <w:spacing w:after="0"/>
      </w:pPr>
      <w:r>
        <w:t>Marion</w:t>
      </w:r>
    </w:p>
    <w:p w:rsidR="000129C1" w:rsidRDefault="000129C1" w:rsidP="00D871F5">
      <w:pPr>
        <w:pStyle w:val="ListParagraph"/>
        <w:numPr>
          <w:ilvl w:val="0"/>
          <w:numId w:val="5"/>
        </w:numPr>
        <w:spacing w:after="0"/>
      </w:pPr>
      <w:r>
        <w:t>Mid-Prairie</w:t>
      </w:r>
    </w:p>
    <w:p w:rsidR="000129C1" w:rsidRDefault="000129C1" w:rsidP="00D871F5">
      <w:pPr>
        <w:pStyle w:val="ListParagraph"/>
        <w:numPr>
          <w:ilvl w:val="0"/>
          <w:numId w:val="5"/>
        </w:numPr>
        <w:spacing w:after="0"/>
      </w:pPr>
      <w:r>
        <w:t>Solon</w:t>
      </w:r>
    </w:p>
    <w:p w:rsidR="000129C1" w:rsidRDefault="000129C1" w:rsidP="00D871F5">
      <w:pPr>
        <w:pStyle w:val="ListParagraph"/>
        <w:numPr>
          <w:ilvl w:val="0"/>
          <w:numId w:val="5"/>
        </w:numPr>
        <w:spacing w:after="0"/>
      </w:pPr>
      <w:r>
        <w:t>Vinton-Shellsburg</w:t>
      </w:r>
    </w:p>
    <w:p w:rsidR="000129C1" w:rsidRDefault="000129C1" w:rsidP="00D871F5">
      <w:pPr>
        <w:pStyle w:val="ListParagraph"/>
        <w:numPr>
          <w:ilvl w:val="0"/>
          <w:numId w:val="5"/>
        </w:numPr>
        <w:spacing w:after="0"/>
      </w:pPr>
      <w:r>
        <w:t>West Branch</w:t>
      </w:r>
    </w:p>
    <w:p w:rsidR="00EB09E1" w:rsidRDefault="000129C1" w:rsidP="00D871F5">
      <w:pPr>
        <w:spacing w:after="0"/>
      </w:pPr>
      <w:r>
        <w:t xml:space="preserve">In addition, </w:t>
      </w:r>
      <w:r w:rsidR="00F722B6">
        <w:t>recent data shows 26% of teachers supported by</w:t>
      </w:r>
      <w:r w:rsidR="00217335">
        <w:t xml:space="preserve"> the</w:t>
      </w:r>
      <w:r w:rsidR="00F722B6">
        <w:t xml:space="preserve"> GWAEA Induction Consortium serve in formal leadership roles in their district within their first 5 years of teaching</w:t>
      </w:r>
      <w:r>
        <w:t>.</w:t>
      </w:r>
    </w:p>
    <w:p w:rsidR="00D871F5" w:rsidRDefault="00D871F5" w:rsidP="00D871F5">
      <w:pPr>
        <w:spacing w:after="0"/>
      </w:pPr>
    </w:p>
    <w:p w:rsidR="00D871F5" w:rsidRDefault="00EB09E1" w:rsidP="00D871F5">
      <w:pPr>
        <w:spacing w:after="0"/>
        <w:rPr>
          <w:i/>
          <w:sz w:val="18"/>
        </w:rPr>
      </w:pPr>
      <w:r w:rsidRPr="00217335">
        <w:rPr>
          <w:i/>
          <w:sz w:val="18"/>
        </w:rPr>
        <w:t xml:space="preserve">*Districts are reimbursed the salary and benefits of each induction coach selected from their </w:t>
      </w:r>
      <w:r w:rsidR="00217335" w:rsidRPr="00217335">
        <w:rPr>
          <w:i/>
          <w:sz w:val="18"/>
        </w:rPr>
        <w:t>district.  This reimbursement often offsets the cost of the Consortium fee for beginning teachers.</w:t>
      </w:r>
    </w:p>
    <w:p w:rsidR="00D871F5" w:rsidRDefault="00D871F5" w:rsidP="00D871F5">
      <w:pPr>
        <w:spacing w:after="0"/>
        <w:rPr>
          <w:i/>
          <w:sz w:val="18"/>
        </w:rPr>
      </w:pPr>
    </w:p>
    <w:p w:rsidR="00D871F5" w:rsidRDefault="00B92E88" w:rsidP="00D871F5">
      <w:pPr>
        <w:spacing w:after="0"/>
        <w:rPr>
          <w:i/>
          <w:sz w:val="18"/>
        </w:rPr>
      </w:pPr>
      <w:r>
        <w:rPr>
          <w:i/>
          <w:noProof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-28575</wp:posOffset>
            </wp:positionV>
            <wp:extent cx="1156686" cy="409575"/>
            <wp:effectExtent l="0" t="0" r="5715" b="0"/>
            <wp:wrapTight wrapText="bothSides">
              <wp:wrapPolygon edited="0">
                <wp:start x="0" y="0"/>
                <wp:lineTo x="0" y="20093"/>
                <wp:lineTo x="21351" y="20093"/>
                <wp:lineTo x="213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uction Consortium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68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1F5" w:rsidRDefault="00D871F5" w:rsidP="00D871F5"/>
    <w:p w:rsidR="00D871F5" w:rsidRDefault="00D871F5" w:rsidP="00D871F5">
      <w:pPr>
        <w:pStyle w:val="Heading1"/>
        <w:jc w:val="right"/>
      </w:pPr>
      <w:r>
        <w:t>6 Creative Ways to Fund Participation in the Induction Consortium</w:t>
      </w:r>
    </w:p>
    <w:p w:rsidR="00D871F5" w:rsidRPr="00D871F5" w:rsidRDefault="00D871F5" w:rsidP="00D871F5">
      <w:pPr>
        <w:spacing w:after="0" w:line="240" w:lineRule="auto"/>
        <w:rPr>
          <w:rFonts w:cstheme="minorHAnsi"/>
        </w:rPr>
      </w:pPr>
      <w:r w:rsidRPr="00D871F5">
        <w:rPr>
          <w:rFonts w:cstheme="minorHAnsi"/>
        </w:rPr>
        <w:t>One of the most common concerns from administrat</w:t>
      </w:r>
      <w:r w:rsidR="00B92E88">
        <w:rPr>
          <w:rFonts w:cstheme="minorHAnsi"/>
        </w:rPr>
        <w:t>ors considering participation in</w:t>
      </w:r>
      <w:r w:rsidRPr="00D871F5">
        <w:rPr>
          <w:rFonts w:cstheme="minorHAnsi"/>
        </w:rPr>
        <w:t xml:space="preserve"> the GWAEA consortium is how they might be able to access the great resources and training on their already limited budget. </w:t>
      </w:r>
    </w:p>
    <w:p w:rsidR="00D871F5" w:rsidRPr="00B92E88" w:rsidRDefault="00D871F5" w:rsidP="00B92E88">
      <w:pPr>
        <w:numPr>
          <w:ilvl w:val="0"/>
          <w:numId w:val="6"/>
        </w:numPr>
        <w:spacing w:before="240" w:after="0" w:line="240" w:lineRule="auto"/>
        <w:ind w:hanging="360"/>
        <w:rPr>
          <w:rFonts w:cstheme="minorHAnsi"/>
          <w:i/>
        </w:rPr>
      </w:pPr>
      <w:r w:rsidRPr="00B92E88">
        <w:rPr>
          <w:rStyle w:val="Heading2Char"/>
        </w:rPr>
        <w:t>TLC funding</w:t>
      </w:r>
      <w:r w:rsidRPr="00D871F5">
        <w:rPr>
          <w:rFonts w:cstheme="minorHAnsi"/>
          <w:color w:val="222222"/>
        </w:rPr>
        <w:t xml:space="preserve"> can be used by districts to support the GWAEA Induction Consortium fee per beginning teacher.</w:t>
      </w:r>
      <w:r w:rsidR="00B92E88">
        <w:rPr>
          <w:rFonts w:cstheme="minorHAnsi"/>
        </w:rPr>
        <w:t xml:space="preserve">  </w:t>
      </w:r>
    </w:p>
    <w:p w:rsidR="00D871F5" w:rsidRPr="00D871F5" w:rsidRDefault="00D871F5" w:rsidP="00B92E88">
      <w:pPr>
        <w:numPr>
          <w:ilvl w:val="0"/>
          <w:numId w:val="6"/>
        </w:numPr>
        <w:spacing w:before="240" w:after="0" w:line="240" w:lineRule="auto"/>
        <w:ind w:hanging="360"/>
        <w:rPr>
          <w:rFonts w:cstheme="minorHAnsi"/>
        </w:rPr>
      </w:pPr>
      <w:r w:rsidRPr="00B92E88">
        <w:rPr>
          <w:rStyle w:val="Heading2Char"/>
        </w:rPr>
        <w:t>Teacher Quality Funds</w:t>
      </w:r>
      <w:r w:rsidR="00B92E88">
        <w:rPr>
          <w:rFonts w:cstheme="minorHAnsi"/>
        </w:rPr>
        <w:t xml:space="preserve">   </w:t>
      </w:r>
      <w:r w:rsidRPr="00D871F5">
        <w:rPr>
          <w:rFonts w:cstheme="minorHAnsi"/>
        </w:rPr>
        <w:t xml:space="preserve">Many of the current consortium districts have supported a portion of their consortium fees through their TQ committee approval. </w:t>
      </w:r>
    </w:p>
    <w:p w:rsidR="00D871F5" w:rsidRPr="00D871F5" w:rsidRDefault="00D871F5" w:rsidP="00B92E88">
      <w:pPr>
        <w:numPr>
          <w:ilvl w:val="0"/>
          <w:numId w:val="6"/>
        </w:numPr>
        <w:spacing w:before="240" w:after="0" w:line="240" w:lineRule="auto"/>
        <w:ind w:hanging="360"/>
        <w:rPr>
          <w:rFonts w:cstheme="minorHAnsi"/>
        </w:rPr>
      </w:pPr>
      <w:r w:rsidRPr="00B92E88">
        <w:rPr>
          <w:rStyle w:val="Heading2Char"/>
        </w:rPr>
        <w:t xml:space="preserve">Federal Funds </w:t>
      </w:r>
      <w:r w:rsidRPr="00B92E88">
        <w:rPr>
          <w:rStyle w:val="Heading2Char"/>
          <w:rFonts w:ascii="Cambria Math" w:hAnsi="Cambria Math" w:cs="Cambria Math"/>
        </w:rPr>
        <w:t>‐</w:t>
      </w:r>
      <w:r w:rsidRPr="00B92E88">
        <w:rPr>
          <w:rStyle w:val="Heading2Char"/>
        </w:rPr>
        <w:t xml:space="preserve"> Title II, Part A</w:t>
      </w:r>
      <w:r w:rsidRPr="00D871F5">
        <w:rPr>
          <w:rFonts w:eastAsia="Calibri" w:cstheme="minorHAnsi"/>
          <w:b/>
        </w:rPr>
        <w:t xml:space="preserve"> </w:t>
      </w:r>
      <w:r w:rsidR="00B92E88">
        <w:rPr>
          <w:rFonts w:cstheme="minorHAnsi"/>
        </w:rPr>
        <w:t xml:space="preserve">  </w:t>
      </w:r>
      <w:proofErr w:type="gramStart"/>
      <w:r w:rsidRPr="00D871F5">
        <w:rPr>
          <w:rFonts w:cstheme="minorHAnsi"/>
        </w:rPr>
        <w:t>This</w:t>
      </w:r>
      <w:proofErr w:type="gramEnd"/>
      <w:r w:rsidRPr="00D871F5">
        <w:rPr>
          <w:rFonts w:cstheme="minorHAnsi"/>
        </w:rPr>
        <w:t xml:space="preserve"> funding is available to districts to support professional development among other items for districts.  If interested a district could use this to support consortium fees. </w:t>
      </w:r>
    </w:p>
    <w:p w:rsidR="00D871F5" w:rsidRPr="00D871F5" w:rsidRDefault="00D871F5" w:rsidP="00B92E88">
      <w:pPr>
        <w:numPr>
          <w:ilvl w:val="0"/>
          <w:numId w:val="6"/>
        </w:numPr>
        <w:spacing w:before="240" w:after="0" w:line="240" w:lineRule="auto"/>
        <w:ind w:hanging="360"/>
        <w:rPr>
          <w:rFonts w:cstheme="minorHAnsi"/>
        </w:rPr>
      </w:pPr>
      <w:r w:rsidRPr="00B92E88">
        <w:rPr>
          <w:rStyle w:val="Heading2Char"/>
        </w:rPr>
        <w:t>Special Education Funding</w:t>
      </w:r>
      <w:r w:rsidR="00B92E88">
        <w:rPr>
          <w:rFonts w:cstheme="minorHAnsi"/>
        </w:rPr>
        <w:t xml:space="preserve">   </w:t>
      </w:r>
      <w:r w:rsidRPr="00D871F5">
        <w:rPr>
          <w:rFonts w:cstheme="minorHAnsi"/>
        </w:rPr>
        <w:t>If districts have a new initial license Special Education teacher, up to 90%* of the consortium fee for this special education teacher can come from this funding source. (</w:t>
      </w:r>
      <w:r w:rsidRPr="00D871F5">
        <w:rPr>
          <w:rFonts w:eastAsia="Calibri" w:cstheme="minorHAnsi"/>
          <w:i/>
        </w:rPr>
        <w:t>*cost of portion of induction coach salary and benefits allocated to support this new teacher.</w:t>
      </w:r>
      <w:r w:rsidRPr="00D871F5">
        <w:rPr>
          <w:rFonts w:cstheme="minorHAnsi"/>
        </w:rPr>
        <w:t xml:space="preserve">)  </w:t>
      </w:r>
    </w:p>
    <w:p w:rsidR="00D871F5" w:rsidRPr="00D871F5" w:rsidRDefault="00D871F5" w:rsidP="00B92E88">
      <w:pPr>
        <w:numPr>
          <w:ilvl w:val="0"/>
          <w:numId w:val="6"/>
        </w:numPr>
        <w:spacing w:before="240" w:after="0" w:line="240" w:lineRule="auto"/>
        <w:ind w:hanging="360"/>
        <w:rPr>
          <w:rFonts w:cstheme="minorHAnsi"/>
        </w:rPr>
      </w:pPr>
      <w:r w:rsidRPr="00B92E88">
        <w:rPr>
          <w:rStyle w:val="Heading2Char"/>
        </w:rPr>
        <w:t>Hire/Retire Savings Differential</w:t>
      </w:r>
      <w:r w:rsidR="00B92E88">
        <w:rPr>
          <w:rFonts w:eastAsia="Calibri" w:cstheme="minorHAnsi"/>
          <w:b/>
        </w:rPr>
        <w:t xml:space="preserve">   </w:t>
      </w:r>
      <w:r w:rsidRPr="00D871F5">
        <w:rPr>
          <w:rFonts w:cstheme="minorHAnsi"/>
        </w:rPr>
        <w:t xml:space="preserve">When hiring a new teacher to replace a retiring teacher, most often the new teacher’s salary and benefit package is much lower than the retiring teacher’s in most situations.  Considering using some of this savings as a reinvestment in the new teacher through the consortium fee. </w:t>
      </w:r>
    </w:p>
    <w:p w:rsidR="00EB09E1" w:rsidRPr="00B92E88" w:rsidRDefault="00D871F5" w:rsidP="00D871F5">
      <w:pPr>
        <w:numPr>
          <w:ilvl w:val="0"/>
          <w:numId w:val="6"/>
        </w:numPr>
        <w:spacing w:before="240" w:after="0" w:line="240" w:lineRule="auto"/>
        <w:ind w:hanging="360"/>
        <w:rPr>
          <w:rFonts w:cstheme="minorHAnsi"/>
        </w:rPr>
      </w:pPr>
      <w:r w:rsidRPr="00B92E88">
        <w:rPr>
          <w:rStyle w:val="Heading2Char"/>
        </w:rPr>
        <w:t>Foundations or Community/Business Partners</w:t>
      </w:r>
      <w:r w:rsidR="00B92E88">
        <w:rPr>
          <w:rFonts w:cstheme="minorHAnsi"/>
        </w:rPr>
        <w:t xml:space="preserve">   </w:t>
      </w:r>
      <w:proofErr w:type="gramStart"/>
      <w:r w:rsidRPr="00D871F5">
        <w:rPr>
          <w:rFonts w:cstheme="minorHAnsi"/>
        </w:rPr>
        <w:t>Many</w:t>
      </w:r>
      <w:proofErr w:type="gramEnd"/>
      <w:r w:rsidRPr="00D871F5">
        <w:rPr>
          <w:rFonts w:cstheme="minorHAnsi"/>
        </w:rPr>
        <w:t xml:space="preserve"> foundations or community organizations/business partners are interested in keeping great teachers in their local school system.  Approaching them with the idea of sponsoring a new teacher through the consortium fee would be a great way to include them in reaching this goal. </w:t>
      </w:r>
    </w:p>
    <w:sectPr w:rsidR="00EB09E1" w:rsidRPr="00B92E88" w:rsidSect="00D871F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9A" w:rsidRDefault="00F4559A" w:rsidP="0031559C">
      <w:pPr>
        <w:spacing w:after="0" w:line="240" w:lineRule="auto"/>
      </w:pPr>
      <w:r>
        <w:separator/>
      </w:r>
    </w:p>
  </w:endnote>
  <w:endnote w:type="continuationSeparator" w:id="0">
    <w:p w:rsidR="00F4559A" w:rsidRDefault="00F4559A" w:rsidP="0031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9A" w:rsidRDefault="00F4559A" w:rsidP="0031559C">
      <w:pPr>
        <w:spacing w:after="0" w:line="240" w:lineRule="auto"/>
      </w:pPr>
      <w:r>
        <w:separator/>
      </w:r>
    </w:p>
  </w:footnote>
  <w:footnote w:type="continuationSeparator" w:id="0">
    <w:p w:rsidR="00F4559A" w:rsidRDefault="00F4559A" w:rsidP="0031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9C" w:rsidRDefault="0031559C" w:rsidP="0031559C">
    <w:pPr>
      <w:pStyle w:val="Title"/>
      <w:jc w:val="center"/>
    </w:pPr>
    <w:r>
      <w:t>Grant Wood Induction Consortium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2CC"/>
    <w:multiLevelType w:val="hybridMultilevel"/>
    <w:tmpl w:val="C306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66D"/>
    <w:multiLevelType w:val="hybridMultilevel"/>
    <w:tmpl w:val="66B25354"/>
    <w:lvl w:ilvl="0" w:tplc="56EE691E">
      <w:start w:val="1"/>
      <w:numFmt w:val="decimal"/>
      <w:lvlText w:val="%1)"/>
      <w:lvlJc w:val="left"/>
      <w:pPr>
        <w:ind w:left="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6290A">
      <w:start w:val="1"/>
      <w:numFmt w:val="lowerLetter"/>
      <w:lvlText w:val="%2.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44D3D4">
      <w:start w:val="1"/>
      <w:numFmt w:val="lowerRoman"/>
      <w:lvlText w:val="%3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8A9D0">
      <w:start w:val="1"/>
      <w:numFmt w:val="decimal"/>
      <w:lvlText w:val="%4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E84DC">
      <w:start w:val="1"/>
      <w:numFmt w:val="lowerLetter"/>
      <w:lvlText w:val="%5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40BF38">
      <w:start w:val="1"/>
      <w:numFmt w:val="lowerRoman"/>
      <w:lvlText w:val="%6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E5354">
      <w:start w:val="1"/>
      <w:numFmt w:val="decimal"/>
      <w:lvlText w:val="%7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C8D12">
      <w:start w:val="1"/>
      <w:numFmt w:val="lowerLetter"/>
      <w:lvlText w:val="%8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8199E">
      <w:start w:val="1"/>
      <w:numFmt w:val="lowerRoman"/>
      <w:lvlText w:val="%9"/>
      <w:lvlJc w:val="left"/>
      <w:pPr>
        <w:ind w:left="6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00915"/>
    <w:multiLevelType w:val="hybridMultilevel"/>
    <w:tmpl w:val="4AA0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C2920"/>
    <w:multiLevelType w:val="hybridMultilevel"/>
    <w:tmpl w:val="E860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15395"/>
    <w:multiLevelType w:val="hybridMultilevel"/>
    <w:tmpl w:val="A030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60246"/>
    <w:multiLevelType w:val="hybridMultilevel"/>
    <w:tmpl w:val="AAE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F2"/>
    <w:rsid w:val="000129C1"/>
    <w:rsid w:val="00094ED5"/>
    <w:rsid w:val="00217335"/>
    <w:rsid w:val="0031559C"/>
    <w:rsid w:val="006B1A3F"/>
    <w:rsid w:val="00751CDB"/>
    <w:rsid w:val="007561B1"/>
    <w:rsid w:val="009455F2"/>
    <w:rsid w:val="009B4477"/>
    <w:rsid w:val="00AE2395"/>
    <w:rsid w:val="00B92E88"/>
    <w:rsid w:val="00D871F5"/>
    <w:rsid w:val="00DC3AB9"/>
    <w:rsid w:val="00EB09E1"/>
    <w:rsid w:val="00F4559A"/>
    <w:rsid w:val="00F47564"/>
    <w:rsid w:val="00F7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1D74"/>
  <w15:chartTrackingRefBased/>
  <w15:docId w15:val="{B1E1EB6D-13F4-4C20-9961-4D1C9DB9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AB9"/>
  </w:style>
  <w:style w:type="paragraph" w:styleId="Heading1">
    <w:name w:val="heading 1"/>
    <w:basedOn w:val="Normal"/>
    <w:next w:val="Normal"/>
    <w:link w:val="Heading1Char"/>
    <w:uiPriority w:val="9"/>
    <w:qFormat/>
    <w:rsid w:val="00F72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96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96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5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94ED5"/>
    <w:rPr>
      <w:rFonts w:asciiTheme="majorHAnsi" w:eastAsiaTheme="majorEastAsia" w:hAnsiTheme="majorHAnsi" w:cstheme="majorBidi"/>
      <w:color w:val="006962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722B6"/>
    <w:rPr>
      <w:rFonts w:asciiTheme="majorHAnsi" w:eastAsiaTheme="majorEastAsia" w:hAnsiTheme="majorHAnsi" w:cstheme="majorBidi"/>
      <w:color w:val="006962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155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5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59C"/>
  </w:style>
  <w:style w:type="paragraph" w:styleId="Footer">
    <w:name w:val="footer"/>
    <w:basedOn w:val="Normal"/>
    <w:link w:val="FooterChar"/>
    <w:uiPriority w:val="99"/>
    <w:unhideWhenUsed/>
    <w:rsid w:val="00315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59C"/>
  </w:style>
  <w:style w:type="paragraph" w:styleId="Title">
    <w:name w:val="Title"/>
    <w:basedOn w:val="Normal"/>
    <w:next w:val="Normal"/>
    <w:link w:val="TitleChar"/>
    <w:uiPriority w:val="10"/>
    <w:qFormat/>
    <w:rsid w:val="003155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newteachercenter.org/news-story/ntc-i3-release/" TargetMode="External"/></Relationships>
</file>

<file path=word/theme/theme1.xml><?xml version="1.0" encoding="utf-8"?>
<a:theme xmlns:a="http://schemas.openxmlformats.org/drawingml/2006/main" name="Office Theme">
  <a:themeElements>
    <a:clrScheme name="GWAE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D84"/>
      </a:accent1>
      <a:accent2>
        <a:srgbClr val="005975"/>
      </a:accent2>
      <a:accent3>
        <a:srgbClr val="89C34F"/>
      </a:accent3>
      <a:accent4>
        <a:srgbClr val="F5AD2D"/>
      </a:accent4>
      <a:accent5>
        <a:srgbClr val="5E5585"/>
      </a:accent5>
      <a:accent6>
        <a:srgbClr val="A41D46"/>
      </a:accent6>
      <a:hlink>
        <a:srgbClr val="0563C1"/>
      </a:hlink>
      <a:folHlink>
        <a:srgbClr val="954F72"/>
      </a:folHlink>
    </a:clrScheme>
    <a:fontScheme name="GWAEA Branded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Gillette, Megeen</dc:creator>
  <cp:keywords/>
  <dc:description/>
  <cp:lastModifiedBy>Gillette, Megeen</cp:lastModifiedBy>
  <cp:revision>2</cp:revision>
  <cp:lastPrinted>2018-02-22T18:07:00Z</cp:lastPrinted>
  <dcterms:created xsi:type="dcterms:W3CDTF">2019-04-30T17:00:00Z</dcterms:created>
  <dcterms:modified xsi:type="dcterms:W3CDTF">2019-04-30T17:00:00Z</dcterms:modified>
</cp:coreProperties>
</file>